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jc w:val="center"/>
        <w:rPr>
          <w:rFonts w:ascii="黑体" w:hAnsi="黑体" w:eastAsia="黑体"/>
          <w:spacing w:val="60"/>
          <w:sz w:val="32"/>
          <w:szCs w:val="32"/>
        </w:rPr>
      </w:pPr>
      <w:r>
        <w:rPr>
          <w:rFonts w:hint="eastAsia" w:ascii="仿宋" w:hAnsi="仿宋" w:eastAsia="仿宋"/>
          <w:sz w:val="32"/>
          <w:szCs w:val="32"/>
        </w:rPr>
        <w:t>宝陈农发〔2022〕</w:t>
      </w:r>
      <w:r>
        <w:rPr>
          <w:rFonts w:hint="eastAsia" w:ascii="仿宋" w:hAnsi="仿宋" w:eastAsia="仿宋"/>
          <w:sz w:val="32"/>
          <w:szCs w:val="32"/>
          <w:lang w:val="en-US" w:eastAsia="zh-CN"/>
        </w:rPr>
        <w:t>60</w:t>
      </w:r>
      <w:r>
        <w:rPr>
          <w:rFonts w:hint="eastAsia" w:ascii="仿宋" w:hAnsi="仿宋" w:eastAsia="仿宋"/>
          <w:sz w:val="32"/>
          <w:szCs w:val="32"/>
        </w:rPr>
        <w:t>号</w:t>
      </w:r>
    </w:p>
    <w:p>
      <w:pPr>
        <w:snapToGrid w:val="0"/>
        <w:spacing w:line="440" w:lineRule="exact"/>
        <w:ind w:firstLine="2400" w:firstLineChars="500"/>
        <w:jc w:val="center"/>
        <w:rPr>
          <w:rFonts w:ascii="黑体" w:hAnsi="黑体" w:eastAsia="黑体"/>
          <w:spacing w:val="60"/>
          <w:sz w:val="36"/>
          <w:szCs w:val="36"/>
        </w:rPr>
      </w:pPr>
    </w:p>
    <w:p>
      <w:pPr>
        <w:snapToGrid w:val="0"/>
        <w:spacing w:line="500" w:lineRule="exact"/>
        <w:ind w:firstLine="0" w:firstLineChars="0"/>
        <w:rPr>
          <w:rFonts w:ascii="黑体" w:hAnsi="黑体" w:eastAsia="黑体" w:cs="黑体"/>
          <w:sz w:val="36"/>
          <w:szCs w:val="36"/>
        </w:rPr>
      </w:pPr>
    </w:p>
    <w:p>
      <w:pPr>
        <w:snapToGrid w:val="0"/>
        <w:spacing w:line="500" w:lineRule="exact"/>
        <w:ind w:firstLine="0" w:firstLineChars="0"/>
        <w:jc w:val="center"/>
        <w:rPr>
          <w:rFonts w:ascii="黑体" w:hAnsi="黑体" w:eastAsia="黑体" w:cs="黑体"/>
          <w:sz w:val="36"/>
          <w:szCs w:val="36"/>
        </w:rPr>
      </w:pPr>
    </w:p>
    <w:p>
      <w:pPr>
        <w:snapToGrid w:val="0"/>
        <w:spacing w:line="500" w:lineRule="exact"/>
        <w:ind w:firstLine="0" w:firstLineChars="0"/>
        <w:jc w:val="center"/>
        <w:rPr>
          <w:rFonts w:ascii="黑体" w:hAnsi="黑体" w:eastAsia="黑体" w:cs="黑体"/>
          <w:sz w:val="36"/>
          <w:szCs w:val="36"/>
        </w:rPr>
      </w:pPr>
      <w:r>
        <w:rPr>
          <w:rFonts w:hint="eastAsia" w:ascii="黑体" w:hAnsi="黑体" w:eastAsia="黑体" w:cs="黑体"/>
          <w:sz w:val="36"/>
          <w:szCs w:val="36"/>
        </w:rPr>
        <w:t>宝鸡市陈仓区农业农村局</w:t>
      </w:r>
    </w:p>
    <w:p>
      <w:pPr>
        <w:snapToGrid w:val="0"/>
        <w:spacing w:line="500" w:lineRule="exact"/>
        <w:ind w:firstLine="0" w:firstLineChars="0"/>
        <w:jc w:val="center"/>
        <w:rPr>
          <w:rFonts w:ascii="黑体" w:hAnsi="黑体" w:eastAsia="黑体" w:cs="黑体"/>
          <w:sz w:val="36"/>
          <w:szCs w:val="36"/>
        </w:rPr>
      </w:pPr>
      <w:r>
        <w:rPr>
          <w:rFonts w:hint="eastAsia" w:ascii="黑体" w:hAnsi="黑体" w:eastAsia="黑体" w:cs="黑体"/>
          <w:sz w:val="36"/>
          <w:szCs w:val="36"/>
        </w:rPr>
        <w:t>关于2022年区级财政衔接资金阳平镇</w:t>
      </w:r>
    </w:p>
    <w:p>
      <w:pPr>
        <w:snapToGrid w:val="0"/>
        <w:spacing w:line="500" w:lineRule="exact"/>
        <w:ind w:firstLine="0" w:firstLineChars="0"/>
        <w:jc w:val="center"/>
        <w:rPr>
          <w:rFonts w:ascii="黑体" w:hAnsi="黑体" w:eastAsia="黑体" w:cs="黑体"/>
          <w:sz w:val="36"/>
          <w:szCs w:val="36"/>
        </w:rPr>
      </w:pPr>
      <w:r>
        <w:rPr>
          <w:rFonts w:hint="eastAsia" w:ascii="黑体" w:hAnsi="黑体" w:eastAsia="黑体" w:cs="黑体"/>
          <w:sz w:val="36"/>
          <w:szCs w:val="36"/>
        </w:rPr>
        <w:t>大帐寺</w:t>
      </w:r>
      <w:r>
        <w:rPr>
          <w:rFonts w:ascii="黑体" w:hAnsi="黑体" w:eastAsia="黑体" w:cs="黑体"/>
          <w:sz w:val="36"/>
          <w:szCs w:val="36"/>
        </w:rPr>
        <w:t>村</w:t>
      </w:r>
      <w:r>
        <w:rPr>
          <w:rFonts w:hint="eastAsia" w:ascii="黑体" w:hAnsi="黑体" w:eastAsia="黑体" w:cs="黑体"/>
          <w:sz w:val="36"/>
          <w:szCs w:val="36"/>
        </w:rPr>
        <w:t>排污渠改造</w:t>
      </w:r>
      <w:r>
        <w:rPr>
          <w:rFonts w:ascii="黑体" w:hAnsi="黑体" w:eastAsia="黑体" w:cs="黑体"/>
          <w:sz w:val="36"/>
          <w:szCs w:val="36"/>
        </w:rPr>
        <w:t>项目</w:t>
      </w:r>
      <w:r>
        <w:rPr>
          <w:rFonts w:hint="eastAsia" w:ascii="黑体" w:hAnsi="黑体" w:eastAsia="黑体" w:cs="黑体"/>
          <w:sz w:val="36"/>
          <w:szCs w:val="36"/>
        </w:rPr>
        <w:t>实施方案的批复</w:t>
      </w:r>
    </w:p>
    <w:p>
      <w:pPr>
        <w:snapToGrid w:val="0"/>
        <w:spacing w:line="520" w:lineRule="exact"/>
        <w:ind w:firstLine="0" w:firstLineChars="0"/>
        <w:jc w:val="left"/>
        <w:rPr>
          <w:rFonts w:ascii="仿宋" w:hAnsi="仿宋" w:eastAsia="仿宋" w:cs="仿宋"/>
          <w:sz w:val="32"/>
          <w:szCs w:val="32"/>
        </w:rPr>
      </w:pPr>
    </w:p>
    <w:p>
      <w:pPr>
        <w:snapToGrid w:val="0"/>
        <w:spacing w:line="500" w:lineRule="exact"/>
        <w:ind w:firstLine="0" w:firstLineChars="0"/>
        <w:rPr>
          <w:rFonts w:ascii="仿宋" w:hAnsi="仿宋" w:eastAsia="仿宋" w:cs="仿宋"/>
          <w:sz w:val="32"/>
          <w:szCs w:val="32"/>
        </w:rPr>
      </w:pPr>
      <w:r>
        <w:rPr>
          <w:rFonts w:hint="eastAsia" w:ascii="仿宋" w:hAnsi="仿宋" w:eastAsia="仿宋" w:cs="仿宋"/>
          <w:sz w:val="32"/>
          <w:szCs w:val="32"/>
        </w:rPr>
        <w:t>阳平镇人民政府：</w:t>
      </w:r>
    </w:p>
    <w:p>
      <w:pPr>
        <w:spacing w:line="500" w:lineRule="exact"/>
        <w:ind w:firstLine="640"/>
        <w:rPr>
          <w:rFonts w:ascii="仿宋" w:hAnsi="仿宋" w:eastAsia="仿宋" w:cs="仿宋"/>
          <w:sz w:val="32"/>
          <w:szCs w:val="32"/>
        </w:rPr>
      </w:pPr>
      <w:r>
        <w:rPr>
          <w:rFonts w:hint="eastAsia" w:ascii="仿宋_GB2312" w:hAnsi="仿宋_GB2312" w:eastAsia="仿宋_GB2312" w:cs="仿宋_GB2312"/>
          <w:sz w:val="32"/>
          <w:szCs w:val="32"/>
        </w:rPr>
        <w:t>你镇上报的《2022年区级财政衔接资金阳平镇大帐寺村排污渠改造项目实施方案的报告</w:t>
      </w:r>
      <w:r>
        <w:rPr>
          <w:rFonts w:hint="eastAsia" w:ascii="仿宋" w:hAnsi="仿宋" w:eastAsia="仿宋" w:cs="仿宋"/>
          <w:sz w:val="32"/>
          <w:szCs w:val="32"/>
        </w:rPr>
        <w:t>》(宝陈阳镇政发</w:t>
      </w:r>
      <w:r>
        <w:rPr>
          <w:rFonts w:hint="eastAsia" w:ascii="仿宋_GB2312" w:eastAsia="仿宋_GB2312"/>
          <w:sz w:val="32"/>
          <w:szCs w:val="32"/>
        </w:rPr>
        <w:t>〔2022〕77号</w:t>
      </w:r>
      <w:r>
        <w:rPr>
          <w:rFonts w:hint="eastAsia" w:ascii="仿宋" w:hAnsi="仿宋" w:eastAsia="仿宋" w:cs="仿宋"/>
          <w:sz w:val="32"/>
          <w:szCs w:val="32"/>
        </w:rPr>
        <w:t>）收悉。经4月19日宝鸡市陈仓区2022年区级财政衔接资金项目评审会公开质询评审，该项目符合项目管理规定，同意你镇实施大帐寺</w:t>
      </w:r>
      <w:r>
        <w:rPr>
          <w:rFonts w:ascii="仿宋" w:hAnsi="仿宋" w:eastAsia="仿宋" w:cs="仿宋"/>
          <w:sz w:val="32"/>
          <w:szCs w:val="32"/>
        </w:rPr>
        <w:t>村</w:t>
      </w:r>
      <w:r>
        <w:rPr>
          <w:rFonts w:hint="eastAsia" w:ascii="仿宋" w:hAnsi="仿宋" w:eastAsia="仿宋" w:cs="仿宋"/>
          <w:sz w:val="32"/>
          <w:szCs w:val="32"/>
        </w:rPr>
        <w:t>排污渠改造</w:t>
      </w:r>
      <w:r>
        <w:rPr>
          <w:rFonts w:ascii="仿宋" w:hAnsi="仿宋" w:eastAsia="仿宋" w:cs="仿宋"/>
          <w:sz w:val="32"/>
          <w:szCs w:val="32"/>
        </w:rPr>
        <w:t>项目</w:t>
      </w:r>
      <w:r>
        <w:rPr>
          <w:rFonts w:hint="eastAsia" w:ascii="仿宋" w:hAnsi="仿宋" w:eastAsia="仿宋" w:cs="仿宋"/>
          <w:sz w:val="32"/>
          <w:szCs w:val="32"/>
        </w:rPr>
        <w:t>，现批复如下：</w:t>
      </w:r>
    </w:p>
    <w:p>
      <w:pPr>
        <w:snapToGrid w:val="0"/>
        <w:spacing w:line="500" w:lineRule="exact"/>
        <w:ind w:firstLine="640"/>
        <w:rPr>
          <w:rFonts w:ascii="黑体" w:hAnsi="黑体" w:eastAsia="黑体" w:cs="黑体"/>
          <w:sz w:val="32"/>
          <w:szCs w:val="32"/>
        </w:rPr>
      </w:pPr>
      <w:r>
        <w:rPr>
          <w:rFonts w:hint="eastAsia" w:ascii="仿宋" w:hAnsi="仿宋" w:eastAsia="仿宋" w:cs="仿宋"/>
          <w:sz w:val="32"/>
          <w:szCs w:val="32"/>
        </w:rPr>
        <w:t>一、</w:t>
      </w:r>
      <w:r>
        <w:rPr>
          <w:rFonts w:hint="eastAsia" w:ascii="黑体" w:hAnsi="黑体" w:eastAsia="黑体" w:cs="黑体"/>
          <w:sz w:val="32"/>
          <w:szCs w:val="32"/>
        </w:rPr>
        <w:t>项目建设内容及规模</w:t>
      </w:r>
    </w:p>
    <w:p>
      <w:pPr>
        <w:spacing w:line="500" w:lineRule="exact"/>
        <w:ind w:firstLine="640"/>
        <w:rPr>
          <w:rFonts w:hint="eastAsia" w:ascii="仿宋" w:hAnsi="仿宋" w:eastAsia="仿宋"/>
          <w:color w:val="000000"/>
          <w:sz w:val="32"/>
          <w:szCs w:val="32"/>
        </w:rPr>
      </w:pPr>
      <w:r>
        <w:rPr>
          <w:rFonts w:hint="eastAsia" w:ascii="仿宋" w:hAnsi="仿宋" w:eastAsia="仿宋"/>
          <w:color w:val="000000"/>
          <w:sz w:val="32"/>
          <w:szCs w:val="32"/>
        </w:rPr>
        <w:t>（一）建设内容：1.排水渠需改造长度1500m，计划对原来排水渠两边渠身硬化加高0.3m，厚度0.15m。2.排水渠两侧每隔10m实施0.2m*0.2m柱体加固（商砼材料）。3.渠边两侧用黄土围固。</w:t>
      </w:r>
    </w:p>
    <w:p>
      <w:pPr>
        <w:spacing w:line="500" w:lineRule="exact"/>
        <w:ind w:firstLine="640"/>
        <w:rPr>
          <w:rFonts w:ascii="仿宋" w:hAnsi="仿宋" w:eastAsia="仿宋"/>
          <w:color w:val="000000"/>
          <w:sz w:val="32"/>
          <w:szCs w:val="32"/>
        </w:rPr>
      </w:pPr>
      <w:r>
        <w:rPr>
          <w:rFonts w:hint="eastAsia" w:ascii="仿宋" w:hAnsi="仿宋" w:eastAsia="仿宋"/>
          <w:color w:val="000000"/>
          <w:sz w:val="32"/>
          <w:szCs w:val="32"/>
        </w:rPr>
        <w:t>（二）建设地点及规模：该项目建设地点在大帐寺村高速路到村北北一街，共计1500m。</w:t>
      </w:r>
    </w:p>
    <w:p>
      <w:pPr>
        <w:spacing w:line="500" w:lineRule="exact"/>
        <w:ind w:firstLine="640"/>
        <w:rPr>
          <w:rFonts w:hint="eastAsia" w:ascii="黑体" w:eastAsia="黑体"/>
          <w:color w:val="000000"/>
          <w:sz w:val="32"/>
          <w:szCs w:val="32"/>
        </w:rPr>
      </w:pPr>
      <w:r>
        <w:rPr>
          <w:rFonts w:hint="eastAsia" w:ascii="黑体" w:eastAsia="黑体"/>
          <w:color w:val="000000"/>
          <w:sz w:val="32"/>
          <w:szCs w:val="32"/>
        </w:rPr>
        <w:t>二、项目招投标方式</w:t>
      </w:r>
    </w:p>
    <w:p>
      <w:pPr>
        <w:spacing w:line="500" w:lineRule="exact"/>
        <w:ind w:firstLine="640"/>
        <w:rPr>
          <w:rFonts w:ascii="仿宋" w:hAnsi="仿宋" w:eastAsia="仿宋"/>
          <w:color w:val="FF0000"/>
          <w:sz w:val="32"/>
          <w:szCs w:val="32"/>
        </w:rPr>
      </w:pPr>
      <w:r>
        <w:rPr>
          <w:rFonts w:hint="eastAsia" w:ascii="仿宋" w:hAnsi="仿宋" w:eastAsia="仿宋"/>
          <w:sz w:val="32"/>
          <w:szCs w:val="32"/>
        </w:rPr>
        <w:t>项目以“三重一大”的方式进行实施。</w:t>
      </w:r>
    </w:p>
    <w:p>
      <w:pPr>
        <w:spacing w:line="500" w:lineRule="exact"/>
        <w:ind w:firstLine="640"/>
        <w:rPr>
          <w:rFonts w:ascii="黑体" w:eastAsia="黑体"/>
          <w:color w:val="000000"/>
          <w:sz w:val="32"/>
          <w:szCs w:val="32"/>
        </w:rPr>
      </w:pPr>
      <w:r>
        <w:rPr>
          <w:rFonts w:hint="eastAsia" w:ascii="黑体" w:eastAsia="黑体"/>
          <w:sz w:val="32"/>
          <w:szCs w:val="32"/>
        </w:rPr>
        <w:t>三、</w:t>
      </w:r>
      <w:r>
        <w:rPr>
          <w:rFonts w:hint="eastAsia" w:ascii="黑体" w:eastAsia="黑体"/>
          <w:color w:val="000000"/>
          <w:sz w:val="32"/>
          <w:szCs w:val="32"/>
        </w:rPr>
        <w:t>对脱</w:t>
      </w:r>
      <w:r>
        <w:rPr>
          <w:rFonts w:hint="eastAsia" w:ascii="黑体" w:eastAsia="黑体"/>
          <w:color w:val="000000"/>
          <w:sz w:val="32"/>
          <w:szCs w:val="32"/>
          <w:lang w:eastAsia="zh-CN"/>
        </w:rPr>
        <w:t>贫</w:t>
      </w:r>
      <w:r>
        <w:rPr>
          <w:rFonts w:hint="eastAsia" w:ascii="黑体" w:eastAsia="黑体"/>
          <w:color w:val="000000"/>
          <w:sz w:val="32"/>
          <w:szCs w:val="32"/>
        </w:rPr>
        <w:t>户的扶持情况</w:t>
      </w:r>
    </w:p>
    <w:p>
      <w:pPr>
        <w:spacing w:line="500" w:lineRule="exact"/>
        <w:ind w:firstLine="640"/>
        <w:rPr>
          <w:rFonts w:ascii="仿宋" w:hAnsi="仿宋" w:eastAsia="仿宋"/>
          <w:sz w:val="32"/>
          <w:szCs w:val="32"/>
        </w:rPr>
      </w:pPr>
      <w:r>
        <w:rPr>
          <w:rFonts w:hint="eastAsia" w:ascii="仿宋" w:hAnsi="仿宋" w:eastAsia="仿宋"/>
          <w:color w:val="000000"/>
          <w:sz w:val="32"/>
          <w:szCs w:val="32"/>
        </w:rPr>
        <w:t xml:space="preserve">大帐寺村排污渠项目实施后，可改善人居环境，解决雨水淹没农田现象，保障了农业生产正常运行，对全村群众及34户脱贫户生产、生活提供了良好环境。 </w:t>
      </w:r>
      <w:r>
        <w:rPr>
          <w:rFonts w:hint="eastAsia" w:ascii="仿宋" w:hAnsi="仿宋" w:eastAsia="仿宋"/>
          <w:sz w:val="32"/>
          <w:szCs w:val="32"/>
        </w:rPr>
        <w:t xml:space="preserve"> </w:t>
      </w:r>
    </w:p>
    <w:p>
      <w:pPr>
        <w:spacing w:line="500" w:lineRule="exact"/>
        <w:ind w:firstLine="640"/>
        <w:rPr>
          <w:rFonts w:hint="eastAsia" w:ascii="黑体" w:eastAsia="黑体"/>
          <w:sz w:val="32"/>
          <w:szCs w:val="32"/>
        </w:rPr>
      </w:pPr>
      <w:r>
        <w:rPr>
          <w:rFonts w:hint="eastAsia" w:ascii="黑体" w:eastAsia="黑体"/>
          <w:sz w:val="32"/>
          <w:szCs w:val="32"/>
        </w:rPr>
        <w:t>四、项目投资估算及资金筹措方案</w:t>
      </w:r>
    </w:p>
    <w:p>
      <w:pPr>
        <w:spacing w:line="500" w:lineRule="exact"/>
        <w:ind w:firstLine="640"/>
        <w:rPr>
          <w:rFonts w:ascii="仿宋" w:hAnsi="仿宋" w:eastAsia="仿宋"/>
          <w:sz w:val="32"/>
          <w:szCs w:val="32"/>
        </w:rPr>
      </w:pPr>
      <w:r>
        <w:rPr>
          <w:rFonts w:hint="eastAsia" w:ascii="仿宋" w:hAnsi="仿宋" w:eastAsia="仿宋"/>
          <w:sz w:val="32"/>
          <w:szCs w:val="32"/>
        </w:rPr>
        <w:t>（一）项目投资估算</w:t>
      </w:r>
    </w:p>
    <w:p>
      <w:pPr>
        <w:spacing w:line="500" w:lineRule="exact"/>
        <w:ind w:firstLine="640"/>
        <w:rPr>
          <w:rFonts w:ascii="仿宋" w:hAnsi="仿宋" w:eastAsia="仿宋"/>
          <w:sz w:val="32"/>
          <w:szCs w:val="32"/>
        </w:rPr>
      </w:pPr>
      <w:r>
        <w:rPr>
          <w:rFonts w:hint="eastAsia" w:ascii="仿宋" w:hAnsi="仿宋" w:eastAsia="仿宋"/>
          <w:sz w:val="32"/>
          <w:szCs w:val="32"/>
        </w:rPr>
        <w:t>该项目计划总投资40万元，投资预算表如下：</w:t>
      </w:r>
    </w:p>
    <w:p>
      <w:pPr>
        <w:spacing w:line="360" w:lineRule="auto"/>
        <w:ind w:firstLine="643"/>
        <w:jc w:val="center"/>
        <w:rPr>
          <w:rFonts w:ascii="仿宋" w:hAnsi="仿宋" w:eastAsia="仿宋"/>
          <w:b/>
          <w:bCs/>
          <w:sz w:val="32"/>
          <w:szCs w:val="32"/>
        </w:rPr>
      </w:pPr>
      <w:r>
        <w:rPr>
          <w:rFonts w:hint="eastAsia" w:ascii="仿宋" w:hAnsi="仿宋" w:eastAsia="仿宋"/>
          <w:b/>
          <w:bCs/>
          <w:sz w:val="32"/>
          <w:szCs w:val="32"/>
        </w:rPr>
        <w:t>项目投资估算表</w:t>
      </w:r>
    </w:p>
    <w:tbl>
      <w:tblPr>
        <w:tblStyle w:val="6"/>
        <w:tblW w:w="9166"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1980"/>
        <w:gridCol w:w="1525"/>
        <w:gridCol w:w="1847"/>
        <w:gridCol w:w="1751"/>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序号</w:t>
            </w:r>
          </w:p>
        </w:tc>
        <w:tc>
          <w:tcPr>
            <w:tcW w:w="1980"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项目材料</w:t>
            </w:r>
          </w:p>
        </w:tc>
        <w:tc>
          <w:tcPr>
            <w:tcW w:w="1525" w:type="dxa"/>
            <w:vAlign w:val="center"/>
          </w:tcPr>
          <w:p>
            <w:pPr>
              <w:ind w:firstLine="240" w:firstLineChars="100"/>
              <w:rPr>
                <w:rFonts w:ascii="仿宋" w:hAnsi="仿宋" w:eastAsia="仿宋" w:cs="仿宋"/>
                <w:color w:val="000000"/>
                <w:sz w:val="24"/>
              </w:rPr>
            </w:pPr>
            <w:r>
              <w:rPr>
                <w:rFonts w:hint="eastAsia" w:ascii="仿宋" w:hAnsi="仿宋" w:eastAsia="仿宋" w:cs="仿宋"/>
                <w:color w:val="000000"/>
                <w:sz w:val="24"/>
              </w:rPr>
              <w:t>数量</w:t>
            </w:r>
          </w:p>
        </w:tc>
        <w:tc>
          <w:tcPr>
            <w:tcW w:w="1847" w:type="dxa"/>
            <w:vAlign w:val="center"/>
          </w:tcPr>
          <w:p>
            <w:pPr>
              <w:ind w:firstLine="240" w:firstLineChars="100"/>
              <w:rPr>
                <w:rFonts w:ascii="仿宋" w:hAnsi="仿宋" w:eastAsia="仿宋" w:cs="仿宋"/>
                <w:color w:val="000000"/>
                <w:sz w:val="24"/>
              </w:rPr>
            </w:pPr>
            <w:r>
              <w:rPr>
                <w:rFonts w:hint="eastAsia" w:ascii="仿宋" w:hAnsi="仿宋" w:eastAsia="仿宋" w:cs="仿宋"/>
                <w:color w:val="000000"/>
                <w:sz w:val="24"/>
              </w:rPr>
              <w:t>单价</w:t>
            </w:r>
          </w:p>
        </w:tc>
        <w:tc>
          <w:tcPr>
            <w:tcW w:w="1751" w:type="dxa"/>
            <w:vAlign w:val="center"/>
          </w:tcPr>
          <w:p>
            <w:pPr>
              <w:ind w:firstLine="240" w:firstLineChars="100"/>
              <w:rPr>
                <w:rFonts w:ascii="仿宋" w:hAnsi="仿宋" w:eastAsia="仿宋" w:cs="仿宋"/>
                <w:color w:val="000000"/>
                <w:sz w:val="24"/>
              </w:rPr>
            </w:pPr>
            <w:r>
              <w:rPr>
                <w:rFonts w:hint="eastAsia" w:ascii="仿宋" w:hAnsi="仿宋" w:eastAsia="仿宋" w:cs="仿宋"/>
                <w:color w:val="000000"/>
                <w:sz w:val="24"/>
              </w:rPr>
              <w:t>小计</w:t>
            </w:r>
          </w:p>
        </w:tc>
        <w:tc>
          <w:tcPr>
            <w:tcW w:w="1081"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1</w:t>
            </w:r>
          </w:p>
        </w:tc>
        <w:tc>
          <w:tcPr>
            <w:tcW w:w="1980"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机械费</w:t>
            </w:r>
          </w:p>
        </w:tc>
        <w:tc>
          <w:tcPr>
            <w:tcW w:w="1525"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500工时</w:t>
            </w:r>
          </w:p>
        </w:tc>
        <w:tc>
          <w:tcPr>
            <w:tcW w:w="1847"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200元／时</w:t>
            </w:r>
          </w:p>
        </w:tc>
        <w:tc>
          <w:tcPr>
            <w:tcW w:w="1751"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100000元</w:t>
            </w:r>
          </w:p>
        </w:tc>
        <w:tc>
          <w:tcPr>
            <w:tcW w:w="1081" w:type="dxa"/>
            <w:vAlign w:val="center"/>
          </w:tcPr>
          <w:p>
            <w:pPr>
              <w:ind w:firstLine="480"/>
              <w:jc w:val="center"/>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2</w:t>
            </w:r>
          </w:p>
        </w:tc>
        <w:tc>
          <w:tcPr>
            <w:tcW w:w="1980"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人工费</w:t>
            </w:r>
          </w:p>
        </w:tc>
        <w:tc>
          <w:tcPr>
            <w:tcW w:w="1525"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1500工</w:t>
            </w:r>
          </w:p>
        </w:tc>
        <w:tc>
          <w:tcPr>
            <w:tcW w:w="1847"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120元／工</w:t>
            </w:r>
          </w:p>
        </w:tc>
        <w:tc>
          <w:tcPr>
            <w:tcW w:w="1751"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180000元</w:t>
            </w:r>
          </w:p>
        </w:tc>
        <w:tc>
          <w:tcPr>
            <w:tcW w:w="1081" w:type="dxa"/>
            <w:vAlign w:val="center"/>
          </w:tcPr>
          <w:p>
            <w:pPr>
              <w:ind w:firstLine="480"/>
              <w:jc w:val="center"/>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3</w:t>
            </w:r>
          </w:p>
        </w:tc>
        <w:tc>
          <w:tcPr>
            <w:tcW w:w="1980"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清淤、清理杂物、拉运</w:t>
            </w:r>
          </w:p>
        </w:tc>
        <w:tc>
          <w:tcPr>
            <w:tcW w:w="1525"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300m³</w:t>
            </w:r>
          </w:p>
        </w:tc>
        <w:tc>
          <w:tcPr>
            <w:tcW w:w="1847"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150元／m³</w:t>
            </w:r>
          </w:p>
        </w:tc>
        <w:tc>
          <w:tcPr>
            <w:tcW w:w="1751"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45000元</w:t>
            </w:r>
          </w:p>
        </w:tc>
        <w:tc>
          <w:tcPr>
            <w:tcW w:w="1081" w:type="dxa"/>
            <w:vAlign w:val="center"/>
          </w:tcPr>
          <w:p>
            <w:pPr>
              <w:ind w:firstLine="480"/>
              <w:jc w:val="center"/>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4</w:t>
            </w:r>
          </w:p>
        </w:tc>
        <w:tc>
          <w:tcPr>
            <w:tcW w:w="1980"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商砼</w:t>
            </w:r>
          </w:p>
        </w:tc>
        <w:tc>
          <w:tcPr>
            <w:tcW w:w="1525"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150m³</w:t>
            </w:r>
          </w:p>
        </w:tc>
        <w:tc>
          <w:tcPr>
            <w:tcW w:w="1847"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440元／m³</w:t>
            </w:r>
          </w:p>
        </w:tc>
        <w:tc>
          <w:tcPr>
            <w:tcW w:w="1751"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66000元</w:t>
            </w:r>
          </w:p>
        </w:tc>
        <w:tc>
          <w:tcPr>
            <w:tcW w:w="1081" w:type="dxa"/>
            <w:vAlign w:val="center"/>
          </w:tcPr>
          <w:p>
            <w:pPr>
              <w:ind w:firstLine="480"/>
              <w:jc w:val="center"/>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5</w:t>
            </w:r>
          </w:p>
        </w:tc>
        <w:tc>
          <w:tcPr>
            <w:tcW w:w="1980" w:type="dxa"/>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黄土</w:t>
            </w:r>
          </w:p>
        </w:tc>
        <w:tc>
          <w:tcPr>
            <w:tcW w:w="1525"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500m³</w:t>
            </w:r>
          </w:p>
        </w:tc>
        <w:tc>
          <w:tcPr>
            <w:tcW w:w="1847"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18元／m³</w:t>
            </w:r>
          </w:p>
        </w:tc>
        <w:tc>
          <w:tcPr>
            <w:tcW w:w="1751"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9000元</w:t>
            </w:r>
          </w:p>
        </w:tc>
        <w:tc>
          <w:tcPr>
            <w:tcW w:w="1081" w:type="dxa"/>
            <w:vAlign w:val="center"/>
          </w:tcPr>
          <w:p>
            <w:pPr>
              <w:ind w:firstLine="480"/>
              <w:jc w:val="center"/>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pPr>
              <w:ind w:firstLine="0" w:firstLineChars="0"/>
              <w:rPr>
                <w:rFonts w:ascii="仿宋" w:hAnsi="仿宋" w:eastAsia="仿宋" w:cs="仿宋"/>
                <w:color w:val="000000"/>
                <w:sz w:val="24"/>
              </w:rPr>
            </w:pPr>
            <w:r>
              <w:rPr>
                <w:rFonts w:hint="eastAsia" w:ascii="仿宋" w:hAnsi="仿宋" w:eastAsia="仿宋" w:cs="仿宋"/>
                <w:color w:val="000000"/>
                <w:sz w:val="24"/>
              </w:rPr>
              <w:t>合计</w:t>
            </w:r>
          </w:p>
        </w:tc>
        <w:tc>
          <w:tcPr>
            <w:tcW w:w="8184" w:type="dxa"/>
            <w:gridSpan w:val="5"/>
            <w:vAlign w:val="center"/>
          </w:tcPr>
          <w:p>
            <w:pPr>
              <w:ind w:firstLine="480"/>
              <w:jc w:val="center"/>
              <w:rPr>
                <w:rFonts w:ascii="仿宋" w:hAnsi="仿宋" w:eastAsia="仿宋" w:cs="仿宋"/>
                <w:color w:val="000000"/>
                <w:sz w:val="24"/>
              </w:rPr>
            </w:pPr>
            <w:r>
              <w:rPr>
                <w:rFonts w:hint="eastAsia" w:ascii="仿宋" w:hAnsi="仿宋" w:eastAsia="仿宋" w:cs="仿宋"/>
                <w:color w:val="000000"/>
                <w:sz w:val="24"/>
              </w:rPr>
              <w:t>400000元</w:t>
            </w:r>
          </w:p>
        </w:tc>
      </w:tr>
    </w:tbl>
    <w:p>
      <w:pPr>
        <w:spacing w:line="500" w:lineRule="exact"/>
        <w:ind w:firstLine="640"/>
        <w:rPr>
          <w:rFonts w:ascii="仿宋" w:hAnsi="仿宋" w:eastAsia="仿宋"/>
          <w:sz w:val="32"/>
          <w:szCs w:val="32"/>
        </w:rPr>
      </w:pPr>
      <w:r>
        <w:rPr>
          <w:rFonts w:hint="eastAsia" w:ascii="仿宋" w:hAnsi="仿宋" w:eastAsia="仿宋"/>
          <w:sz w:val="32"/>
          <w:szCs w:val="32"/>
        </w:rPr>
        <w:t>（二）项目资金筹措方案</w:t>
      </w:r>
    </w:p>
    <w:p>
      <w:pPr>
        <w:spacing w:line="500" w:lineRule="exact"/>
        <w:ind w:left="160" w:leftChars="76" w:firstLine="480" w:firstLineChars="150"/>
        <w:rPr>
          <w:rFonts w:ascii="仿宋" w:hAnsi="仿宋" w:eastAsia="仿宋"/>
          <w:color w:val="000000"/>
          <w:sz w:val="32"/>
          <w:szCs w:val="32"/>
        </w:rPr>
      </w:pPr>
      <w:r>
        <w:rPr>
          <w:rFonts w:hint="eastAsia" w:ascii="仿宋" w:hAnsi="仿宋" w:eastAsia="仿宋"/>
          <w:color w:val="000000"/>
          <w:sz w:val="32"/>
          <w:szCs w:val="32"/>
        </w:rPr>
        <w:t>项目计划总投资40万元，资金来源全部为区级财政衔接资金。</w:t>
      </w:r>
    </w:p>
    <w:p>
      <w:pPr>
        <w:spacing w:line="500" w:lineRule="exact"/>
        <w:ind w:firstLine="640"/>
        <w:jc w:val="left"/>
        <w:rPr>
          <w:rFonts w:ascii="黑体" w:hAnsi="黑体" w:eastAsia="黑体" w:cs="黑体"/>
          <w:sz w:val="32"/>
          <w:szCs w:val="32"/>
        </w:rPr>
      </w:pPr>
      <w:r>
        <w:rPr>
          <w:rFonts w:hint="eastAsia" w:ascii="黑体" w:hAnsi="黑体" w:eastAsia="黑体" w:cs="黑体"/>
          <w:sz w:val="32"/>
          <w:szCs w:val="32"/>
        </w:rPr>
        <w:t>五、项目实施进度安排</w:t>
      </w:r>
    </w:p>
    <w:p>
      <w:pPr>
        <w:spacing w:line="500" w:lineRule="exact"/>
        <w:ind w:firstLine="640"/>
        <w:rPr>
          <w:rFonts w:ascii="仿宋" w:hAnsi="仿宋" w:eastAsia="仿宋"/>
          <w:color w:val="000000"/>
          <w:sz w:val="32"/>
          <w:szCs w:val="32"/>
        </w:rPr>
      </w:pPr>
      <w:r>
        <w:rPr>
          <w:rFonts w:hint="eastAsia" w:ascii="仿宋" w:hAnsi="仿宋" w:eastAsia="仿宋"/>
          <w:color w:val="000000"/>
          <w:sz w:val="32"/>
          <w:szCs w:val="32"/>
        </w:rPr>
        <w:t>该项目计划4月25日前完成项目申报、审批及前期准备工作；5月1日开工建设；6月10日前全面竣工、验收审计，6月11日正式投入使用。</w:t>
      </w:r>
      <w:r>
        <w:rPr>
          <w:rFonts w:hint="eastAsia" w:ascii="仿宋_GB2312" w:hAnsi="仿宋_GB2312" w:eastAsia="仿宋_GB2312" w:cs="仿宋_GB2312"/>
          <w:sz w:val="32"/>
          <w:szCs w:val="32"/>
        </w:rPr>
        <w:t>镇级、村级安排专人进行项目管理，镇财政所负责资金的监管。</w:t>
      </w:r>
    </w:p>
    <w:p>
      <w:pPr>
        <w:spacing w:line="500" w:lineRule="exact"/>
        <w:ind w:firstLine="640"/>
        <w:jc w:val="left"/>
        <w:rPr>
          <w:rFonts w:ascii="黑体" w:hAnsi="黑体" w:eastAsia="黑体" w:cs="黑体"/>
          <w:sz w:val="32"/>
          <w:szCs w:val="32"/>
        </w:rPr>
      </w:pPr>
      <w:r>
        <w:rPr>
          <w:rFonts w:hint="eastAsia" w:ascii="黑体" w:hAnsi="黑体" w:eastAsia="黑体" w:cs="黑体"/>
          <w:sz w:val="32"/>
          <w:szCs w:val="32"/>
        </w:rPr>
        <w:t>六、项目实施要求</w:t>
      </w:r>
    </w:p>
    <w:p>
      <w:pPr>
        <w:snapToGrid w:val="0"/>
        <w:spacing w:line="500" w:lineRule="exact"/>
        <w:ind w:firstLine="640"/>
        <w:jc w:val="left"/>
        <w:rPr>
          <w:rFonts w:ascii="仿宋_GB2312" w:hAnsi="仿宋_GB2312" w:eastAsia="仿宋_GB2312" w:cs="仿宋_GB2312"/>
          <w:sz w:val="32"/>
          <w:szCs w:val="32"/>
        </w:rPr>
      </w:pPr>
      <w:r>
        <w:rPr>
          <w:rFonts w:hint="eastAsia" w:ascii="楷体" w:hAnsi="楷体" w:eastAsia="楷体" w:cs="楷体"/>
          <w:sz w:val="32"/>
          <w:szCs w:val="32"/>
        </w:rPr>
        <w:t xml:space="preserve"> 1.夯实责任，加强项目实施管理。</w:t>
      </w:r>
      <w:r>
        <w:rPr>
          <w:rFonts w:hint="eastAsia" w:ascii="仿宋_GB2312" w:hAnsi="仿宋_GB2312" w:eastAsia="仿宋_GB2312" w:cs="仿宋_GB2312"/>
          <w:sz w:val="32"/>
          <w:szCs w:val="32"/>
        </w:rPr>
        <w:t>项目镇街要切实落实项目实施主体责任，按照省市区财政衔接资金项目管理办法及实施要求，严格落实项目</w:t>
      </w:r>
      <w:bookmarkStart w:id="0" w:name="_GoBack"/>
      <w:bookmarkEnd w:id="0"/>
      <w:r>
        <w:rPr>
          <w:rFonts w:hint="eastAsia" w:ascii="仿宋_GB2312" w:hAnsi="仿宋_GB2312" w:eastAsia="仿宋_GB2312" w:cs="仿宋_GB2312"/>
          <w:sz w:val="32"/>
          <w:szCs w:val="32"/>
        </w:rPr>
        <w:t>管理、招投标、公示公告等制度，规范项目事前研究、施工监理、资料整理、验收审计等过程管理。</w:t>
      </w:r>
    </w:p>
    <w:p>
      <w:pPr>
        <w:snapToGrid w:val="0"/>
        <w:spacing w:line="500" w:lineRule="exact"/>
        <w:ind w:firstLine="640"/>
        <w:jc w:val="left"/>
        <w:rPr>
          <w:rFonts w:ascii="仿宋_GB2312" w:hAnsi="仿宋_GB2312" w:eastAsia="仿宋_GB2312" w:cs="仿宋_GB2312"/>
          <w:sz w:val="32"/>
          <w:szCs w:val="32"/>
        </w:rPr>
      </w:pPr>
      <w:r>
        <w:rPr>
          <w:rFonts w:hint="eastAsia" w:ascii="楷体" w:hAnsi="楷体" w:eastAsia="楷体" w:cs="楷体"/>
          <w:sz w:val="32"/>
          <w:szCs w:val="32"/>
        </w:rPr>
        <w:t>2.规范管理，管好用好项目资金。</w:t>
      </w:r>
      <w:r>
        <w:rPr>
          <w:rFonts w:hint="eastAsia" w:ascii="仿宋_GB2312" w:hAnsi="仿宋_GB2312" w:eastAsia="仿宋_GB2312" w:cs="仿宋_GB2312"/>
          <w:sz w:val="32"/>
          <w:szCs w:val="32"/>
        </w:rPr>
        <w:t>按照区财政局、区乡 村振兴局等六部门《关于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snapToGrid w:val="0"/>
        <w:spacing w:line="500" w:lineRule="exact"/>
        <w:ind w:firstLine="640"/>
        <w:jc w:val="left"/>
        <w:rPr>
          <w:rFonts w:ascii="仿宋_GB2312" w:hAnsi="仿宋_GB2312" w:eastAsia="仿宋_GB2312" w:cs="仿宋_GB2312"/>
          <w:sz w:val="32"/>
          <w:szCs w:val="32"/>
        </w:rPr>
      </w:pPr>
      <w:r>
        <w:rPr>
          <w:rFonts w:hint="eastAsia" w:ascii="楷体" w:hAnsi="楷体" w:eastAsia="楷体" w:cs="楷体"/>
          <w:sz w:val="32"/>
          <w:szCs w:val="32"/>
        </w:rPr>
        <w:t>3.加强协调，确保按期完成项目建设任务。</w:t>
      </w:r>
      <w:r>
        <w:rPr>
          <w:rFonts w:hint="eastAsia" w:ascii="仿宋_GB2312" w:hAnsi="仿宋_GB2312" w:eastAsia="仿宋_GB2312" w:cs="仿宋_GB2312"/>
          <w:sz w:val="32"/>
          <w:szCs w:val="32"/>
        </w:rPr>
        <w:t>项目镇街要加强实施组织协调，充分调动设计、施工、监理及项目村积极性，为项目落实施工提供有力保障，确保2022年6月底前完成项目建设任务、资金兑付和报账工作，接受上级检查验收。同时，提早动手做好项目资产确权移交和后期运维管理等工作。</w:t>
      </w:r>
    </w:p>
    <w:p>
      <w:pPr>
        <w:snapToGrid w:val="0"/>
        <w:spacing w:line="500" w:lineRule="exact"/>
        <w:ind w:firstLine="0" w:firstLineChars="0"/>
        <w:rPr>
          <w:rFonts w:ascii="仿宋" w:hAnsi="仿宋" w:eastAsia="仿宋" w:cs="仿宋"/>
          <w:sz w:val="32"/>
          <w:szCs w:val="32"/>
        </w:rPr>
      </w:pPr>
      <w:r>
        <w:rPr>
          <w:rFonts w:hint="eastAsia" w:ascii="仿宋" w:hAnsi="仿宋" w:eastAsia="仿宋" w:cs="仿宋"/>
          <w:sz w:val="32"/>
          <w:szCs w:val="32"/>
        </w:rPr>
        <w:t xml:space="preserve">                    </w:t>
      </w:r>
    </w:p>
    <w:p>
      <w:pPr>
        <w:snapToGrid w:val="0"/>
        <w:spacing w:line="500" w:lineRule="exact"/>
        <w:ind w:firstLine="3520" w:firstLineChars="1100"/>
        <w:rPr>
          <w:rFonts w:ascii="仿宋" w:hAnsi="仿宋" w:eastAsia="仿宋" w:cs="仿宋"/>
          <w:sz w:val="32"/>
          <w:szCs w:val="32"/>
        </w:rPr>
      </w:pPr>
      <w:r>
        <w:rPr>
          <w:rFonts w:hint="eastAsia" w:ascii="仿宋" w:hAnsi="仿宋" w:eastAsia="仿宋" w:cs="仿宋"/>
          <w:sz w:val="32"/>
          <w:szCs w:val="32"/>
        </w:rPr>
        <w:t>宝鸡市陈仓区农业农村局</w:t>
      </w:r>
    </w:p>
    <w:p>
      <w:pPr>
        <w:snapToGrid w:val="0"/>
        <w:spacing w:line="520" w:lineRule="exact"/>
        <w:ind w:firstLine="4160" w:firstLineChars="1300"/>
        <w:rPr>
          <w:rFonts w:ascii="仿宋" w:hAnsi="仿宋" w:eastAsia="仿宋" w:cs="仿宋"/>
          <w:sz w:val="32"/>
          <w:szCs w:val="32"/>
        </w:rPr>
      </w:pPr>
      <w:r>
        <w:rPr>
          <w:rFonts w:hint="eastAsia" w:ascii="仿宋" w:hAnsi="仿宋" w:eastAsia="仿宋" w:cs="仿宋"/>
          <w:sz w:val="32"/>
          <w:szCs w:val="32"/>
        </w:rPr>
        <w:t>2022年4月24日</w:t>
      </w:r>
    </w:p>
    <w:p>
      <w:pPr>
        <w:pStyle w:val="2"/>
        <w:ind w:firstLine="0" w:firstLineChars="0"/>
        <w:jc w:val="both"/>
      </w:pPr>
    </w:p>
    <w:p>
      <w:pPr>
        <w:snapToGrid w:val="0"/>
        <w:spacing w:line="520" w:lineRule="exact"/>
        <w:ind w:firstLine="0" w:firstLineChars="0"/>
        <w:rPr>
          <w:rFonts w:ascii="仿宋" w:hAnsi="仿宋" w:eastAsia="仿宋" w:cs="仿宋"/>
          <w:sz w:val="32"/>
          <w:szCs w:val="32"/>
        </w:rPr>
      </w:pPr>
    </w:p>
    <w:p>
      <w:pPr>
        <w:snapToGrid w:val="0"/>
        <w:spacing w:line="520" w:lineRule="exact"/>
        <w:ind w:firstLine="0" w:firstLineChars="0"/>
        <w:rPr>
          <w:rFonts w:ascii="仿宋" w:hAnsi="仿宋" w:eastAsia="仿宋" w:cs="仿宋"/>
          <w:sz w:val="32"/>
          <w:szCs w:val="32"/>
        </w:rPr>
      </w:pPr>
    </w:p>
    <w:p>
      <w:pPr>
        <w:snapToGrid w:val="0"/>
        <w:spacing w:line="520" w:lineRule="exact"/>
        <w:ind w:firstLine="0" w:firstLineChars="0"/>
        <w:rPr>
          <w:rFonts w:ascii="仿宋" w:hAnsi="仿宋" w:eastAsia="仿宋" w:cs="仿宋"/>
          <w:sz w:val="32"/>
          <w:szCs w:val="32"/>
        </w:rPr>
      </w:pPr>
    </w:p>
    <w:p>
      <w:pPr>
        <w:snapToGrid w:val="0"/>
        <w:spacing w:line="520" w:lineRule="exact"/>
        <w:ind w:firstLine="0" w:firstLineChars="0"/>
        <w:rPr>
          <w:rFonts w:ascii="仿宋" w:hAnsi="仿宋" w:eastAsia="仿宋" w:cs="仿宋"/>
          <w:sz w:val="32"/>
          <w:szCs w:val="32"/>
        </w:rPr>
      </w:pPr>
      <w:r>
        <w:pict>
          <v:line id="_x0000_s1026" o:spid="_x0000_s1026" o:spt="20" style="position:absolute;left:0pt;margin-left:-3.75pt;margin-top:20.75pt;height:0pt;width:441pt;z-index:251661312;mso-width-relative:page;mso-height-relative:page;" coordsize="21600,21600" o:gfxdata="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9CeFs1QAAAAgBAAAPAAAAAAAAAAEAIAAAACIAAABkcnMvZG93bnJldi54bWxQ&#10;SwECFAAUAAAACACHTuJArzXzZPoBAADyAwAADgAAAAAAAAABACAAAAAkAQAAZHJzL2Uyb0RvYy54&#10;bWxQSwUGAAAAAAYABgBZAQAAkAUAAAAA&#10;">
            <v:path arrowok="t"/>
            <v:fill focussize="0,0"/>
            <v:stroke/>
            <v:imagedata o:title=""/>
            <o:lock v:ext="edit"/>
          </v:line>
        </w:pict>
      </w:r>
    </w:p>
    <w:p>
      <w:pPr>
        <w:spacing w:line="400" w:lineRule="exact"/>
        <w:ind w:firstLine="0" w:firstLineChars="0"/>
        <w:rPr>
          <w:rFonts w:ascii="仿宋" w:hAnsi="仿宋" w:eastAsia="仿宋" w:cs="仿宋"/>
          <w:sz w:val="28"/>
          <w:szCs w:val="28"/>
        </w:rPr>
      </w:pPr>
      <w:r>
        <w:rPr>
          <w:rFonts w:hint="eastAsia" w:ascii="仿宋" w:hAnsi="仿宋" w:eastAsia="仿宋" w:cs="仿宋"/>
          <w:sz w:val="28"/>
          <w:szCs w:val="28"/>
        </w:rPr>
        <w:t>抄送：局各领导</w:t>
      </w:r>
    </w:p>
    <w:p>
      <w:pPr>
        <w:ind w:firstLine="0" w:firstLineChars="0"/>
        <w:rPr>
          <w:sz w:val="28"/>
          <w:szCs w:val="28"/>
        </w:rPr>
      </w:pPr>
      <w:r>
        <w:rPr>
          <w:sz w:val="28"/>
          <w:szCs w:val="28"/>
        </w:rPr>
        <w:pict>
          <v:line id="_x0000_s1028" o:spid="_x0000_s1028" o:spt="20" style="position:absolute;left:0pt;flip:y;margin-left:-9.85pt;margin-top:26.9pt;height:0.85pt;width:446.7pt;z-index:251662336;mso-width-relative:page;mso-height-relative:page;" coordsize="21600,21600" o:gfxdata="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qtao11wAAAAkBAAAPAAAAAAAAAAEAIAAAACIAAABkcnMv&#10;ZG93bnJldi54bWxQSwECFAAUAAAACACHTuJAi6EZLwQCAAAABAAADgAAAAAAAAABACAAAAAmAQAA&#10;ZHJzL2Uyb0RvYy54bWxQSwUGAAAAAAYABgBZAQAAnAUAAAAA&#10;">
            <v:path arrowok="t"/>
            <v:fill focussize="0,0"/>
            <v:stroke/>
            <v:imagedata o:title=""/>
            <o:lock v:ext="edit"/>
          </v:line>
        </w:pict>
      </w:r>
      <w:r>
        <w:rPr>
          <w:sz w:val="28"/>
          <w:szCs w:val="28"/>
        </w:rPr>
        <w:pict>
          <v:line id="_x0000_s1027" o:spid="_x0000_s1027" o:spt="20" style="position:absolute;left:0pt;margin-left:-8.65pt;margin-top:0.65pt;height:0pt;width:442.5pt;z-index:251660288;mso-width-relative:page;mso-height-relative:page;" coordsize="21600,21600" o:gfxdata="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AyDtQAAAAHAQAADwAAAAAAAAABACAAAAAiAAAAZHJzL2Rvd25yZXYueG1sUEsB&#10;AhQAFAAAAAgAh07iQKkCdlT5AQAA8gMAAA4AAAAAAAAAAQAgAAAAIwEAAGRycy9lMm9Eb2MueG1s&#10;UEsFBgAAAAAGAAYAWQEAAI4FAAAAAA==&#10;">
            <v:path arrowok="t"/>
            <v:fill focussize="0,0"/>
            <v:stroke/>
            <v:imagedata o:title=""/>
            <o:lock v:ext="edit"/>
          </v:line>
        </w:pict>
      </w:r>
      <w:r>
        <w:rPr>
          <w:rFonts w:hint="eastAsia" w:ascii="仿宋" w:hAnsi="仿宋" w:eastAsia="仿宋" w:cs="仿宋"/>
          <w:sz w:val="28"/>
          <w:szCs w:val="28"/>
        </w:rPr>
        <w:t>宝鸡市陈仓区农业农村局                  2022年4月24日印发</w:t>
      </w:r>
      <w:r>
        <w:rPr>
          <w:rFonts w:ascii="??_GB2312" w:eastAsia="Times New Roman"/>
          <w:sz w:val="28"/>
          <w:szCs w:val="28"/>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3"/>
                  <w:ind w:firstLine="360"/>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D4E2C"/>
    <w:rsid w:val="000D01A1"/>
    <w:rsid w:val="005537A0"/>
    <w:rsid w:val="00657B25"/>
    <w:rsid w:val="00A25530"/>
    <w:rsid w:val="00B241EA"/>
    <w:rsid w:val="00BF0694"/>
    <w:rsid w:val="00C93E72"/>
    <w:rsid w:val="00FD4E2C"/>
    <w:rsid w:val="0116796C"/>
    <w:rsid w:val="013C1960"/>
    <w:rsid w:val="015964E2"/>
    <w:rsid w:val="016A71AA"/>
    <w:rsid w:val="01B7106F"/>
    <w:rsid w:val="02316EE1"/>
    <w:rsid w:val="025020A0"/>
    <w:rsid w:val="029E6726"/>
    <w:rsid w:val="034B292D"/>
    <w:rsid w:val="041939F1"/>
    <w:rsid w:val="0490503A"/>
    <w:rsid w:val="04BA2E5A"/>
    <w:rsid w:val="04BF1E96"/>
    <w:rsid w:val="051B1ED8"/>
    <w:rsid w:val="05466DC0"/>
    <w:rsid w:val="056412FD"/>
    <w:rsid w:val="05B9667F"/>
    <w:rsid w:val="072C3F89"/>
    <w:rsid w:val="07B36C00"/>
    <w:rsid w:val="086E22A1"/>
    <w:rsid w:val="089C056F"/>
    <w:rsid w:val="090C15B5"/>
    <w:rsid w:val="09560185"/>
    <w:rsid w:val="0A4D5D41"/>
    <w:rsid w:val="0A761095"/>
    <w:rsid w:val="0A8456C9"/>
    <w:rsid w:val="0B427524"/>
    <w:rsid w:val="0B6A2834"/>
    <w:rsid w:val="0B9213BB"/>
    <w:rsid w:val="0BD22140"/>
    <w:rsid w:val="0C2F2EAB"/>
    <w:rsid w:val="0C911BDA"/>
    <w:rsid w:val="0CB24172"/>
    <w:rsid w:val="0D86380D"/>
    <w:rsid w:val="0D9151F5"/>
    <w:rsid w:val="0E8A634C"/>
    <w:rsid w:val="0ECE2A28"/>
    <w:rsid w:val="0F0A795A"/>
    <w:rsid w:val="0F592EE0"/>
    <w:rsid w:val="108E7B1E"/>
    <w:rsid w:val="109D21B9"/>
    <w:rsid w:val="11A1680A"/>
    <w:rsid w:val="12E85031"/>
    <w:rsid w:val="14105307"/>
    <w:rsid w:val="14C555B5"/>
    <w:rsid w:val="16C775D8"/>
    <w:rsid w:val="16F212AF"/>
    <w:rsid w:val="17A938A3"/>
    <w:rsid w:val="17D62E5A"/>
    <w:rsid w:val="1828475E"/>
    <w:rsid w:val="18585497"/>
    <w:rsid w:val="18620509"/>
    <w:rsid w:val="19730CD4"/>
    <w:rsid w:val="19815045"/>
    <w:rsid w:val="19E057E0"/>
    <w:rsid w:val="1ACD68AD"/>
    <w:rsid w:val="1AF17B5E"/>
    <w:rsid w:val="1B3642C5"/>
    <w:rsid w:val="1C924776"/>
    <w:rsid w:val="1CF14E36"/>
    <w:rsid w:val="1D30319E"/>
    <w:rsid w:val="1E3E4CA4"/>
    <w:rsid w:val="1ED92264"/>
    <w:rsid w:val="1F0C0750"/>
    <w:rsid w:val="1F2145E9"/>
    <w:rsid w:val="1F307B53"/>
    <w:rsid w:val="1FB51BA8"/>
    <w:rsid w:val="20406AE2"/>
    <w:rsid w:val="204904E9"/>
    <w:rsid w:val="208E5716"/>
    <w:rsid w:val="20B935BA"/>
    <w:rsid w:val="20E47DFA"/>
    <w:rsid w:val="211C634F"/>
    <w:rsid w:val="212E3875"/>
    <w:rsid w:val="22E3160F"/>
    <w:rsid w:val="23F45B94"/>
    <w:rsid w:val="240F5891"/>
    <w:rsid w:val="24543D5B"/>
    <w:rsid w:val="249F6004"/>
    <w:rsid w:val="24DE4884"/>
    <w:rsid w:val="25502513"/>
    <w:rsid w:val="27827809"/>
    <w:rsid w:val="28F64198"/>
    <w:rsid w:val="290C794D"/>
    <w:rsid w:val="2A501FE5"/>
    <w:rsid w:val="2A8B5F4F"/>
    <w:rsid w:val="2BAB6141"/>
    <w:rsid w:val="2CA556F6"/>
    <w:rsid w:val="2CFB5201"/>
    <w:rsid w:val="2D750C78"/>
    <w:rsid w:val="2DB15C04"/>
    <w:rsid w:val="2DCB3D66"/>
    <w:rsid w:val="2F5B3FC1"/>
    <w:rsid w:val="2F920BC1"/>
    <w:rsid w:val="3002590A"/>
    <w:rsid w:val="300E40E2"/>
    <w:rsid w:val="308836DE"/>
    <w:rsid w:val="30B87D98"/>
    <w:rsid w:val="31487804"/>
    <w:rsid w:val="31A2351D"/>
    <w:rsid w:val="32837FE3"/>
    <w:rsid w:val="32CC03D3"/>
    <w:rsid w:val="330552CB"/>
    <w:rsid w:val="334D63D9"/>
    <w:rsid w:val="338318B1"/>
    <w:rsid w:val="34762254"/>
    <w:rsid w:val="36324C59"/>
    <w:rsid w:val="364D0195"/>
    <w:rsid w:val="36FE3E72"/>
    <w:rsid w:val="37390DFD"/>
    <w:rsid w:val="377305EC"/>
    <w:rsid w:val="37773AD4"/>
    <w:rsid w:val="37892B15"/>
    <w:rsid w:val="38524603"/>
    <w:rsid w:val="38A23B80"/>
    <w:rsid w:val="38B67E28"/>
    <w:rsid w:val="39543BF7"/>
    <w:rsid w:val="397C7298"/>
    <w:rsid w:val="398B4DB2"/>
    <w:rsid w:val="39AC0DED"/>
    <w:rsid w:val="39F9610A"/>
    <w:rsid w:val="3A1156FB"/>
    <w:rsid w:val="3A984D80"/>
    <w:rsid w:val="3ABC2193"/>
    <w:rsid w:val="3BED577A"/>
    <w:rsid w:val="3C232CD6"/>
    <w:rsid w:val="3C360CCB"/>
    <w:rsid w:val="3DAA1102"/>
    <w:rsid w:val="3E7A03FD"/>
    <w:rsid w:val="3EB121E9"/>
    <w:rsid w:val="3EC34B32"/>
    <w:rsid w:val="3F8101D4"/>
    <w:rsid w:val="3FFF6DF7"/>
    <w:rsid w:val="40704A01"/>
    <w:rsid w:val="40AE2759"/>
    <w:rsid w:val="41711E74"/>
    <w:rsid w:val="41C1407D"/>
    <w:rsid w:val="4272524F"/>
    <w:rsid w:val="43032E72"/>
    <w:rsid w:val="449A48D6"/>
    <w:rsid w:val="45B02A52"/>
    <w:rsid w:val="47020A9C"/>
    <w:rsid w:val="474811FD"/>
    <w:rsid w:val="48170C2D"/>
    <w:rsid w:val="48347505"/>
    <w:rsid w:val="48F92C88"/>
    <w:rsid w:val="4A2D0842"/>
    <w:rsid w:val="4CF60FAF"/>
    <w:rsid w:val="4CFA148B"/>
    <w:rsid w:val="4D4F4BC7"/>
    <w:rsid w:val="4E497EF3"/>
    <w:rsid w:val="4E60013F"/>
    <w:rsid w:val="4F0536C5"/>
    <w:rsid w:val="4F5B38B9"/>
    <w:rsid w:val="4FAB13F1"/>
    <w:rsid w:val="51FD6289"/>
    <w:rsid w:val="52082081"/>
    <w:rsid w:val="5304527E"/>
    <w:rsid w:val="53FF792B"/>
    <w:rsid w:val="5523404F"/>
    <w:rsid w:val="564D61A6"/>
    <w:rsid w:val="566A6423"/>
    <w:rsid w:val="56A87A99"/>
    <w:rsid w:val="56C12221"/>
    <w:rsid w:val="56EB2398"/>
    <w:rsid w:val="57932598"/>
    <w:rsid w:val="57A42A94"/>
    <w:rsid w:val="57A50BCB"/>
    <w:rsid w:val="59561EA9"/>
    <w:rsid w:val="59FF6216"/>
    <w:rsid w:val="5A98175F"/>
    <w:rsid w:val="5AB5170A"/>
    <w:rsid w:val="5BCA4C2E"/>
    <w:rsid w:val="5BFD191D"/>
    <w:rsid w:val="5CAD7D03"/>
    <w:rsid w:val="5DD96821"/>
    <w:rsid w:val="5DDE09B4"/>
    <w:rsid w:val="60240C73"/>
    <w:rsid w:val="61096C1C"/>
    <w:rsid w:val="61784244"/>
    <w:rsid w:val="62226B6A"/>
    <w:rsid w:val="628037E0"/>
    <w:rsid w:val="63070A0E"/>
    <w:rsid w:val="63135DDB"/>
    <w:rsid w:val="640027FB"/>
    <w:rsid w:val="642632E3"/>
    <w:rsid w:val="646C0698"/>
    <w:rsid w:val="64861D9D"/>
    <w:rsid w:val="64FE654E"/>
    <w:rsid w:val="664868AE"/>
    <w:rsid w:val="667C054B"/>
    <w:rsid w:val="66F57B61"/>
    <w:rsid w:val="6733085F"/>
    <w:rsid w:val="679C46D8"/>
    <w:rsid w:val="6828620B"/>
    <w:rsid w:val="69031739"/>
    <w:rsid w:val="69615E07"/>
    <w:rsid w:val="697932C0"/>
    <w:rsid w:val="6A294AE8"/>
    <w:rsid w:val="6A4953AB"/>
    <w:rsid w:val="6B0D09C4"/>
    <w:rsid w:val="6B1A10E9"/>
    <w:rsid w:val="6B4950AE"/>
    <w:rsid w:val="6B966854"/>
    <w:rsid w:val="6BB46DCF"/>
    <w:rsid w:val="6C016F16"/>
    <w:rsid w:val="6C14247B"/>
    <w:rsid w:val="6C37445E"/>
    <w:rsid w:val="6CFE3086"/>
    <w:rsid w:val="6D2A5685"/>
    <w:rsid w:val="6D2D6E54"/>
    <w:rsid w:val="6DF908E0"/>
    <w:rsid w:val="6E70280F"/>
    <w:rsid w:val="6E945EF0"/>
    <w:rsid w:val="6EE17098"/>
    <w:rsid w:val="6F944668"/>
    <w:rsid w:val="70860607"/>
    <w:rsid w:val="71B3797D"/>
    <w:rsid w:val="72FB5E9D"/>
    <w:rsid w:val="72FE1DBF"/>
    <w:rsid w:val="73B76A91"/>
    <w:rsid w:val="74D97A75"/>
    <w:rsid w:val="75811D88"/>
    <w:rsid w:val="762E49EE"/>
    <w:rsid w:val="76682BC7"/>
    <w:rsid w:val="76936084"/>
    <w:rsid w:val="76970A87"/>
    <w:rsid w:val="76C2531B"/>
    <w:rsid w:val="78541DAE"/>
    <w:rsid w:val="788E479A"/>
    <w:rsid w:val="79BA420C"/>
    <w:rsid w:val="7A2C01C1"/>
    <w:rsid w:val="7A703437"/>
    <w:rsid w:val="7AA04DB2"/>
    <w:rsid w:val="7C3517A4"/>
    <w:rsid w:val="7CBB698C"/>
    <w:rsid w:val="7D0E6CF9"/>
    <w:rsid w:val="7D364F73"/>
    <w:rsid w:val="7DC27BC7"/>
    <w:rsid w:val="7EDF3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560" w:lineRule="exact"/>
      <w:jc w:val="center"/>
    </w:pPr>
    <w:rPr>
      <w:rFonts w:ascii="方正小标宋简体" w:hAnsi="华文中宋" w:eastAsia="方正小标宋简体"/>
      <w:b/>
      <w:sz w:val="44"/>
      <w:szCs w:val="4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正文缩进1"/>
    <w:basedOn w:val="1"/>
    <w:qFormat/>
    <w:uiPriority w:val="99"/>
    <w:pPr>
      <w:ind w:firstLine="420"/>
    </w:pPr>
  </w:style>
  <w:style w:type="character" w:customStyle="1" w:styleId="9">
    <w:name w:val="font21"/>
    <w:basedOn w:val="7"/>
    <w:qFormat/>
    <w:uiPriority w:val="0"/>
    <w:rPr>
      <w:rFonts w:hint="eastAsia" w:ascii="宋体" w:hAnsi="宋体" w:eastAsia="宋体" w:cs="宋体"/>
      <w:color w:val="000000"/>
      <w:sz w:val="22"/>
      <w:szCs w:val="22"/>
      <w:u w:val="none"/>
    </w:rPr>
  </w:style>
  <w:style w:type="character" w:customStyle="1" w:styleId="10">
    <w:name w:val="font31"/>
    <w:basedOn w:val="7"/>
    <w:qFormat/>
    <w:uiPriority w:val="0"/>
    <w:rPr>
      <w:rFonts w:hint="eastAsia" w:ascii="仿宋" w:hAnsi="仿宋" w:eastAsia="仿宋" w:cs="仿宋"/>
      <w:color w:val="000000"/>
      <w:sz w:val="22"/>
      <w:szCs w:val="22"/>
      <w:u w:val="none"/>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1134</Words>
  <Characters>1259</Characters>
  <Lines>9</Lines>
  <Paragraphs>2</Paragraphs>
  <TotalTime>4</TotalTime>
  <ScaleCrop>false</ScaleCrop>
  <LinksUpToDate>false</LinksUpToDate>
  <CharactersWithSpaces>1304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2022-04-24T11:09:00Z</dcterms:created>
  <dc:creator>Administrator</dc:creator>
  <cp:lastModifiedBy>天高云淡</cp:lastModifiedBy>
  <cp:lastPrinted>2022-04-25T09:51:19Z</cp:lastPrinted>
  <dcterms:modified xsi:type="dcterms:W3CDTF">2022-04-25T09:51:43Z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FCB05AD44D384154892198C841974FB6</vt:lpwstr>
  </property>
  <property fmtid="{D5CDD505-2E9C-101B-9397-08002B2CF9AE}" pid="4" name="commondata">
    <vt:lpwstr>eyJoZGlkIjoiZmE4ZTQ0ZGRlMDlhM2NmMThmZTM3MDIwNzQ4ZGEzMzQifQ==</vt:lpwstr>
  </property>
</Properties>
</file>